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14" w:rsidRDefault="00595F3F"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Если сила сопротивления пропорциональна скорости, то для установившейся скорости можно записать</w:t>
      </w:r>
      <w:proofErr w:type="gramStart"/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797560" cy="340360"/>
            <wp:effectExtent l="19050" t="0" r="2540" b="0"/>
            <wp:docPr id="1" name="TexFormula" descr=" mg = kv_\infty\\k = mg/v_\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" descr=" mg = kv_\infty\\k = mg/v_\inf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Г</w:t>
      </w:r>
      <w:proofErr w:type="gramEnd"/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де </w:t>
      </w:r>
      <w:proofErr w:type="spellStart"/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k</w:t>
      </w:r>
      <w:proofErr w:type="spellEnd"/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 - коэффициент пропорциональности. </w:t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Теперь запишем 2 закон Ньютона для проекций ускорений камня на горизонтальную и вертикальную оси</w:t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1435100" cy="765810"/>
            <wp:effectExtent l="19050" t="0" r="0" b="0"/>
            <wp:docPr id="2" name="TexFormula1" descr="\displaystyle&amp;#10;m\frac{\Delta v_x}{\Delta t} = -kv_x\\\\&amp;#10;m\frac{\Delta v_y}{\Delta t} = -mg-kv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1" descr="\displaystyle&amp;#10;m\frac{\Delta v_x}{\Delta t} = -kv_x\\\\&amp;#10;m\frac{\Delta v_y}{\Delta t} = -mg-kv_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proofErr w:type="spellStart"/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Домножая</w:t>
      </w:r>
      <w:proofErr w:type="spellEnd"/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 все на ∆</w:t>
      </w:r>
      <w:proofErr w:type="spellStart"/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t</w:t>
      </w:r>
      <w:proofErr w:type="spellEnd"/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 получим</w:t>
      </w:r>
      <w:proofErr w:type="gramStart"/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>
            <wp:extent cx="1467485" cy="765810"/>
            <wp:effectExtent l="19050" t="0" r="0" b="0"/>
            <wp:docPr id="3" name="TexFormula2" descr="\displaystyle&amp;#10;\Delta v_x = -\frac{k}{m}\Delta x\\\\&amp;#10;\Delta v_y = -g\Delta t - \frac{k}{m}\Delta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2" descr="\displaystyle&amp;#10;\Delta v_x = -\frac{k}{m}\Delta x\\\\&amp;#10;\Delta v_y = -g\Delta t - \frac{k}{m}\Delta 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</w:rPr>
        <w:br/>
      </w:r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020A1B"/>
          <w:sz w:val="27"/>
          <w:szCs w:val="27"/>
          <w:shd w:val="clear" w:color="auto" w:fill="FFFFFF"/>
        </w:rPr>
        <w:t xml:space="preserve"> принципе, все маленькие дельты можно уже просуммировать. Первая строчка, кстати, не нужна для решения задачи. Для полных приращений мы будем иметь</w:t>
      </w:r>
      <w:r>
        <w:rPr>
          <w:rFonts w:ascii="Helvetica" w:hAnsi="Helvetica" w:cs="Helvetica"/>
          <w:color w:val="020A1B"/>
          <w:sz w:val="27"/>
          <w:szCs w:val="27"/>
        </w:rPr>
        <w:br/>
      </w:r>
    </w:p>
    <w:sectPr w:rsidR="003A3914" w:rsidSect="003A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F3F"/>
    <w:rsid w:val="003A3914"/>
    <w:rsid w:val="0059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Nettop</dc:creator>
  <cp:lastModifiedBy>Nettop</cp:lastModifiedBy>
  <cp:revision>1</cp:revision>
  <dcterms:created xsi:type="dcterms:W3CDTF">2018-02-19T21:06:00Z</dcterms:created>
  <dcterms:modified xsi:type="dcterms:W3CDTF">2018-02-19T21:06:00Z</dcterms:modified>
</cp:coreProperties>
</file>